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329C7144" w:rsidR="00930509" w:rsidRPr="0078017B" w:rsidRDefault="006F212E" w:rsidP="006F212E">
            <w:pPr>
              <w:pStyle w:val="TableParagraph"/>
              <w:spacing w:before="103"/>
            </w:pPr>
            <w:r>
              <w:t xml:space="preserve"> Venue Officer (Clean &amp; Maintain) 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77777777" w:rsidR="00930509" w:rsidRPr="0078017B" w:rsidRDefault="00930509" w:rsidP="00087A03">
            <w:pPr>
              <w:pStyle w:val="TableParagraph"/>
              <w:ind w:left="567" w:hanging="418"/>
            </w:pPr>
            <w:r w:rsidRPr="0078017B">
              <w:t>Corporate and Community Services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74FD1167" w:rsidR="00930509" w:rsidRPr="0078017B" w:rsidRDefault="00930509" w:rsidP="0005321D">
            <w:pPr>
              <w:pStyle w:val="TableParagraph"/>
            </w:pPr>
            <w:r w:rsidRPr="0078017B">
              <w:t xml:space="preserve"> </w:t>
            </w:r>
            <w:r w:rsidR="006F212E">
              <w:t>1/2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490159BF" w:rsidR="00930509" w:rsidRPr="0078017B" w:rsidRDefault="006F212E" w:rsidP="00087A03">
            <w:pPr>
              <w:pStyle w:val="TableParagraph"/>
              <w:ind w:left="567" w:hanging="418"/>
            </w:pPr>
            <w:r>
              <w:t xml:space="preserve">Coordinator Recreation Services </w:t>
            </w:r>
          </w:p>
        </w:tc>
      </w:tr>
      <w:tr w:rsidR="001D223B" w14:paraId="4CCFFC31" w14:textId="77777777" w:rsidTr="00087A03">
        <w:trPr>
          <w:trHeight w:val="284"/>
        </w:trPr>
        <w:tc>
          <w:tcPr>
            <w:tcW w:w="2804" w:type="dxa"/>
          </w:tcPr>
          <w:p w14:paraId="3776371B" w14:textId="44273113" w:rsidR="001D223B" w:rsidRPr="0005321D" w:rsidRDefault="001D223B" w:rsidP="00087A03">
            <w:pPr>
              <w:pStyle w:val="TableParagraph"/>
              <w:ind w:left="567" w:hanging="448"/>
              <w:rPr>
                <w:b/>
              </w:rPr>
            </w:pPr>
            <w:r w:rsidRPr="0005321D">
              <w:rPr>
                <w:b/>
              </w:rPr>
              <w:t>Teams Responsible for</w:t>
            </w:r>
          </w:p>
        </w:tc>
        <w:tc>
          <w:tcPr>
            <w:tcW w:w="6126" w:type="dxa"/>
          </w:tcPr>
          <w:p w14:paraId="4D2CDABA" w14:textId="15DE34A2" w:rsidR="001D223B" w:rsidRPr="0078017B" w:rsidRDefault="0005321D" w:rsidP="002B0E0D">
            <w:pPr>
              <w:pStyle w:val="TableParagraph"/>
            </w:pPr>
            <w:r>
              <w:t xml:space="preserve"> Nil</w:t>
            </w:r>
          </w:p>
        </w:tc>
      </w:tr>
      <w:tr w:rsidR="006F212E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6F212E" w:rsidRPr="0078017B" w:rsidRDefault="006F212E" w:rsidP="006F212E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2C30297F" w:rsidR="006F212E" w:rsidRPr="0078017B" w:rsidRDefault="006F212E" w:rsidP="006F212E">
            <w:pPr>
              <w:pStyle w:val="TableParagraph"/>
              <w:ind w:left="567" w:hanging="418"/>
            </w:pPr>
            <w:r>
              <w:t>Margaret River Recreation Centre</w:t>
            </w:r>
          </w:p>
        </w:tc>
      </w:tr>
      <w:tr w:rsidR="006F212E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6F212E" w:rsidRDefault="006F212E" w:rsidP="006F212E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Position No. &amp; version</w:t>
            </w:r>
          </w:p>
        </w:tc>
        <w:tc>
          <w:tcPr>
            <w:tcW w:w="6126" w:type="dxa"/>
          </w:tcPr>
          <w:p w14:paraId="398DFA08" w14:textId="4B8EC04F" w:rsidR="006F212E" w:rsidRPr="0078017B" w:rsidRDefault="0005321D" w:rsidP="006F212E">
            <w:pPr>
              <w:pStyle w:val="TableParagraph"/>
              <w:ind w:left="567" w:hanging="418"/>
            </w:pPr>
            <w:r>
              <w:t>REC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6F212E" w:rsidRDefault="00930509" w:rsidP="00930509">
      <w:pPr>
        <w:pStyle w:val="BodyText"/>
        <w:ind w:left="152"/>
        <w:rPr>
          <w:b/>
          <w:bCs/>
          <w:sz w:val="12"/>
          <w:szCs w:val="12"/>
        </w:rPr>
      </w:pPr>
    </w:p>
    <w:p w14:paraId="481E8824" w14:textId="3730C573" w:rsidR="00930509" w:rsidRPr="006F212E" w:rsidRDefault="006F212E" w:rsidP="006F212E">
      <w:pPr>
        <w:overflowPunct w:val="0"/>
        <w:autoSpaceDE w:val="0"/>
        <w:autoSpaceDN w:val="0"/>
        <w:adjustRightInd w:val="0"/>
        <w:ind w:right="432"/>
        <w:jc w:val="both"/>
        <w:textAlignment w:val="baseline"/>
        <w:rPr>
          <w:rFonts w:asciiTheme="minorHAnsi" w:hAnsiTheme="minorHAnsi"/>
          <w:szCs w:val="20"/>
        </w:rPr>
      </w:pPr>
      <w:r w:rsidRPr="00E31C28">
        <w:rPr>
          <w:rFonts w:asciiTheme="minorHAnsi" w:hAnsiTheme="minorHAnsi"/>
          <w:szCs w:val="20"/>
        </w:rPr>
        <w:t>Primary functions of the position</w:t>
      </w:r>
      <w:r>
        <w:rPr>
          <w:rFonts w:asciiTheme="minorHAnsi" w:hAnsiTheme="minorHAnsi"/>
          <w:szCs w:val="20"/>
        </w:rPr>
        <w:t xml:space="preserve"> are to </w:t>
      </w:r>
      <w:r w:rsidRPr="008B2623">
        <w:t>provide</w:t>
      </w:r>
      <w:r w:rsidRPr="008B2623">
        <w:rPr>
          <w:rFonts w:asciiTheme="minorHAnsi" w:hAnsiTheme="minorHAnsi"/>
          <w:szCs w:val="20"/>
        </w:rPr>
        <w:t xml:space="preserve"> clean and safe facilities for all patrons, user groups and the public in accordance with operational policy and procedures</w:t>
      </w:r>
      <w:r>
        <w:rPr>
          <w:rFonts w:asciiTheme="minorHAnsi" w:hAnsiTheme="minorHAnsi"/>
          <w:szCs w:val="20"/>
        </w:rPr>
        <w:t xml:space="preserve"> to the Shire Sport and Recreation Facilities. </w:t>
      </w:r>
      <w:r w:rsidRPr="00E31C28">
        <w:rPr>
          <w:rFonts w:asciiTheme="minorHAnsi" w:hAnsiTheme="minorHAnsi"/>
          <w:szCs w:val="20"/>
        </w:rPr>
        <w:t xml:space="preserve"> </w:t>
      </w:r>
      <w:r w:rsidRPr="00CF5587">
        <w:rPr>
          <w:rFonts w:asciiTheme="minorHAnsi" w:hAnsiTheme="minorHAnsi"/>
          <w:szCs w:val="20"/>
        </w:rPr>
        <w:t xml:space="preserve">To carry out all necessary cleaning tasks </w:t>
      </w:r>
      <w:r>
        <w:rPr>
          <w:rFonts w:asciiTheme="minorHAnsi" w:hAnsiTheme="minorHAnsi"/>
          <w:szCs w:val="20"/>
        </w:rPr>
        <w:t>business unit,</w:t>
      </w:r>
      <w:r w:rsidRPr="00CF5587">
        <w:rPr>
          <w:rFonts w:asciiTheme="minorHAnsi" w:hAnsiTheme="minorHAnsi"/>
          <w:szCs w:val="20"/>
        </w:rPr>
        <w:t xml:space="preserve"> including</w:t>
      </w:r>
      <w:r>
        <w:rPr>
          <w:rFonts w:asciiTheme="minorHAnsi" w:hAnsiTheme="minorHAnsi"/>
          <w:szCs w:val="20"/>
        </w:rPr>
        <w:t xml:space="preserve"> but not limited to,</w:t>
      </w:r>
      <w:r w:rsidRPr="00CF5587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Aquatic Centre, Crèche, and Sporting facilities. </w:t>
      </w:r>
    </w:p>
    <w:p w14:paraId="7DC63B75" w14:textId="77777777" w:rsidR="00930509" w:rsidRDefault="00930509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02B5D93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General</w:t>
      </w: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930509" w14:paraId="7AE27799" w14:textId="77777777" w:rsidTr="00087A03">
        <w:trPr>
          <w:trHeight w:val="1568"/>
        </w:trPr>
        <w:tc>
          <w:tcPr>
            <w:tcW w:w="7792" w:type="dxa"/>
          </w:tcPr>
          <w:p w14:paraId="0078F63C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Carry out general cleaning duties within areas nominated by the Supervisor. Clean allocated areas to an extremely high standard with consideration to hygiene, safety and always maintain a high level of customer awareness.</w:t>
            </w:r>
          </w:p>
          <w:p w14:paraId="3B8B0109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Immediately respond to any cleaning requirement that poses any danger or risk to the health and safety of customers and / or employees.</w:t>
            </w:r>
          </w:p>
          <w:p w14:paraId="5EB39AAC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Exercise duty of care and work in a safe and efficient manner, having regard for your own safety and that of other workers and customers of the MRRC.</w:t>
            </w:r>
          </w:p>
          <w:p w14:paraId="2B41AD13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Plan and deliver schedules for more specific needs such as a deep clean timetable fully utilising quieter periods and provision for special events such school holidays etc.</w:t>
            </w:r>
          </w:p>
          <w:p w14:paraId="11997DA8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Maintain all cleaning equipment in good working order, reporting any damage to equipment or hazards in the work area to the supervisor as soon as possible.</w:t>
            </w:r>
          </w:p>
          <w:p w14:paraId="48766202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Ensure workplace procedures and instructions for controlling risks are followed accurately and ensure that all cleaning equipment and </w:t>
            </w:r>
          </w:p>
          <w:p w14:paraId="009AC79D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chemicals are stored securely after use.</w:t>
            </w:r>
          </w:p>
          <w:p w14:paraId="4CE88031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Maintain supplies of cleaning materials and equipment, keeping check of what will be required and placing orders to maintain stock levels.</w:t>
            </w:r>
          </w:p>
          <w:p w14:paraId="0E8AAD73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Ensure that reports on accidents and incidents are provided to the </w:t>
            </w:r>
            <w:r>
              <w:lastRenderedPageBreak/>
              <w:t>immediate supervisor in accordance with Council requirements.</w:t>
            </w:r>
          </w:p>
          <w:p w14:paraId="792CC4F4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Continually review and improve work methods where related to this position’s work activities regarding best practice in environmental, quality and WHS</w:t>
            </w:r>
          </w:p>
          <w:p w14:paraId="458CBCFA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 xml:space="preserve"> Ensure that areas being cleaned are maintained in a secure state. Maintain security awareness, including setting alarms and reporting all suspicious activities to the supervisor.</w:t>
            </w:r>
          </w:p>
          <w:p w14:paraId="433A91DF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General cleaning of the overall MRRC including foyer, Wet and Dry areas, kitchen, toilets changerooms, administration spaces, glass surfaces etc.</w:t>
            </w:r>
          </w:p>
          <w:p w14:paraId="38FAE3B1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Identify maintenance problems and potential hazards to venue users.</w:t>
            </w:r>
          </w:p>
          <w:p w14:paraId="0BFDC250" w14:textId="77777777" w:rsidR="006F212E" w:rsidRDefault="006F212E" w:rsidP="006F212E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Carry out minor maintenance on equipment, fixtures, and fittings, depending on skill level and experience</w:t>
            </w:r>
          </w:p>
          <w:p w14:paraId="6C2022EF" w14:textId="1785284A" w:rsidR="00930509" w:rsidRPr="006F212E" w:rsidRDefault="006F212E" w:rsidP="00A95F3C">
            <w:pPr>
              <w:numPr>
                <w:ilvl w:val="0"/>
                <w:numId w:val="11"/>
              </w:numPr>
              <w:spacing w:before="79"/>
              <w:rPr>
                <w:sz w:val="20"/>
              </w:rPr>
            </w:pPr>
            <w:r>
              <w:t xml:space="preserve">Provide </w:t>
            </w:r>
            <w:r>
              <w:t>quarterly</w:t>
            </w:r>
            <w:r>
              <w:t xml:space="preserve"> reporting on cleaning service levels and maintenance requirements.</w:t>
            </w:r>
          </w:p>
          <w:p w14:paraId="27E9100E" w14:textId="77777777" w:rsidR="00930509" w:rsidRDefault="00930509" w:rsidP="00087A03">
            <w:pPr>
              <w:rPr>
                <w:b/>
                <w:bCs/>
                <w:color w:val="003967" w:themeColor="accent1" w:themeShade="80"/>
              </w:rPr>
            </w:pPr>
          </w:p>
        </w:tc>
        <w:tc>
          <w:tcPr>
            <w:tcW w:w="1390" w:type="dxa"/>
          </w:tcPr>
          <w:p w14:paraId="3319ABD9" w14:textId="6A676E61" w:rsidR="00930509" w:rsidRDefault="00930509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1</w:t>
            </w:r>
            <w:r w:rsidR="006F212E">
              <w:rPr>
                <w:b/>
                <w:bCs/>
                <w:color w:val="003967" w:themeColor="accent1" w:themeShade="80"/>
              </w:rPr>
              <w:t>0</w:t>
            </w:r>
            <w:r>
              <w:rPr>
                <w:b/>
                <w:bCs/>
                <w:color w:val="003967" w:themeColor="accent1" w:themeShade="80"/>
              </w:rPr>
              <w:t>0%</w:t>
            </w:r>
          </w:p>
        </w:tc>
      </w:tr>
    </w:tbl>
    <w:p w14:paraId="0C59840E" w14:textId="77777777" w:rsidR="00930509" w:rsidRDefault="00930509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5DD25022" w14:textId="77777777" w:rsidR="006F212E" w:rsidRDefault="006F212E" w:rsidP="006F212E">
      <w:pPr>
        <w:pStyle w:val="ListParagraph"/>
        <w:numPr>
          <w:ilvl w:val="0"/>
          <w:numId w:val="13"/>
        </w:numPr>
        <w:rPr>
          <w:rFonts w:asciiTheme="minorHAnsi" w:hAnsiTheme="minorHAnsi"/>
          <w:szCs w:val="20"/>
        </w:rPr>
      </w:pPr>
      <w:r w:rsidRPr="006F212E">
        <w:rPr>
          <w:rFonts w:asciiTheme="minorHAnsi" w:hAnsiTheme="minorHAnsi"/>
          <w:szCs w:val="20"/>
        </w:rPr>
        <w:t>Good interpersonal skills and ability to contribute to a cohesive team environment and maintain positive relationships with internal and external stakeholders</w:t>
      </w:r>
    </w:p>
    <w:p w14:paraId="151B94CC" w14:textId="1F821E54" w:rsidR="006F212E" w:rsidRPr="006F212E" w:rsidRDefault="006F212E" w:rsidP="006F212E">
      <w:pPr>
        <w:pStyle w:val="ListParagraph"/>
        <w:numPr>
          <w:ilvl w:val="0"/>
          <w:numId w:val="13"/>
        </w:numPr>
        <w:rPr>
          <w:rFonts w:asciiTheme="minorHAnsi" w:hAnsiTheme="minorHAnsi"/>
          <w:szCs w:val="20"/>
        </w:rPr>
      </w:pPr>
      <w:r w:rsidRPr="006F212E">
        <w:rPr>
          <w:rFonts w:asciiTheme="minorHAnsi" w:hAnsiTheme="minorHAnsi"/>
          <w:szCs w:val="20"/>
        </w:rPr>
        <w:t>Ability to carry out tasks requiring the application of basic numeracy, literacy, and verbal communication skills.</w:t>
      </w:r>
    </w:p>
    <w:p w14:paraId="5CB8B310" w14:textId="77777777" w:rsidR="006F212E" w:rsidRDefault="006F212E" w:rsidP="006F212E">
      <w:pPr>
        <w:pStyle w:val="ListParagraph"/>
        <w:numPr>
          <w:ilvl w:val="0"/>
          <w:numId w:val="13"/>
        </w:numPr>
        <w:rPr>
          <w:rFonts w:asciiTheme="minorHAnsi" w:hAnsiTheme="minorHAnsi"/>
          <w:szCs w:val="20"/>
        </w:rPr>
      </w:pPr>
      <w:r w:rsidRPr="00143406">
        <w:rPr>
          <w:rFonts w:asciiTheme="minorHAnsi" w:hAnsiTheme="minorHAnsi"/>
          <w:szCs w:val="20"/>
        </w:rPr>
        <w:t>Demonstrated experience relevant to the work area (i.e., facility cleaning and maintenance in a commercial context, ordering supplies).</w:t>
      </w:r>
    </w:p>
    <w:p w14:paraId="245C65FE" w14:textId="77777777" w:rsidR="0005321D" w:rsidRDefault="006F212E" w:rsidP="0005321D">
      <w:pPr>
        <w:pStyle w:val="ListParagraph"/>
        <w:numPr>
          <w:ilvl w:val="0"/>
          <w:numId w:val="13"/>
        </w:numPr>
        <w:rPr>
          <w:rFonts w:asciiTheme="minorHAnsi" w:hAnsiTheme="minorHAnsi"/>
          <w:szCs w:val="20"/>
        </w:rPr>
      </w:pPr>
      <w:r w:rsidRPr="006F212E">
        <w:rPr>
          <w:rFonts w:asciiTheme="minorHAnsi" w:hAnsiTheme="minorHAnsi"/>
          <w:szCs w:val="20"/>
        </w:rPr>
        <w:t>Ability to work effectively unsupervised when required and manage own time to meet defined work outcomes.</w:t>
      </w:r>
    </w:p>
    <w:p w14:paraId="112B30E6" w14:textId="77777777" w:rsidR="0005321D" w:rsidRDefault="0005321D" w:rsidP="0005321D">
      <w:pPr>
        <w:pStyle w:val="ListParagraph"/>
        <w:numPr>
          <w:ilvl w:val="0"/>
          <w:numId w:val="13"/>
        </w:numPr>
        <w:rPr>
          <w:rFonts w:asciiTheme="minorHAnsi" w:hAnsiTheme="minorHAnsi"/>
          <w:szCs w:val="20"/>
        </w:rPr>
      </w:pPr>
      <w:r w:rsidRPr="0005321D">
        <w:rPr>
          <w:rFonts w:asciiTheme="minorHAnsi" w:hAnsiTheme="minorHAnsi"/>
          <w:szCs w:val="20"/>
        </w:rPr>
        <w:t xml:space="preserve">Ability to work in a physically demanding occupation, often in noisy conditions with public around the vicinity </w:t>
      </w:r>
    </w:p>
    <w:p w14:paraId="61B429E5" w14:textId="77777777" w:rsidR="0005321D" w:rsidRDefault="0005321D" w:rsidP="0005321D">
      <w:pPr>
        <w:pStyle w:val="ListParagraph"/>
        <w:numPr>
          <w:ilvl w:val="0"/>
          <w:numId w:val="13"/>
        </w:numPr>
        <w:rPr>
          <w:rFonts w:asciiTheme="minorHAnsi" w:hAnsiTheme="minorHAnsi"/>
          <w:szCs w:val="20"/>
        </w:rPr>
      </w:pPr>
      <w:r w:rsidRPr="0005321D">
        <w:rPr>
          <w:rFonts w:asciiTheme="minorHAnsi" w:hAnsiTheme="minorHAnsi"/>
          <w:szCs w:val="20"/>
        </w:rPr>
        <w:t>A developing knowledge, or ability to acquire knowledge of Council’s standard safe work practices, procedures, and policies relevant to the work area (e.g., work health and safety including Duty Statements).</w:t>
      </w:r>
    </w:p>
    <w:p w14:paraId="5D1711F1" w14:textId="77777777" w:rsidR="0005321D" w:rsidRPr="0005321D" w:rsidRDefault="0005321D" w:rsidP="0005321D">
      <w:pPr>
        <w:pStyle w:val="ListParagraph"/>
        <w:numPr>
          <w:ilvl w:val="0"/>
          <w:numId w:val="13"/>
        </w:numPr>
        <w:rPr>
          <w:rFonts w:asciiTheme="minorHAnsi" w:hAnsiTheme="minorHAnsi"/>
          <w:szCs w:val="20"/>
        </w:rPr>
      </w:pPr>
      <w:r>
        <w:t xml:space="preserve">Basic </w:t>
      </w:r>
      <w:r w:rsidRPr="00361E02">
        <w:t>Experience and</w:t>
      </w:r>
      <w:r>
        <w:t xml:space="preserve">/or </w:t>
      </w:r>
      <w:r w:rsidRPr="00361E02">
        <w:t>skills in basic maintenance skills, such as basic, painting and repairing.</w:t>
      </w:r>
    </w:p>
    <w:p w14:paraId="348FFE08" w14:textId="601F0FAC" w:rsidR="00930509" w:rsidRPr="0005321D" w:rsidRDefault="0005321D" w:rsidP="0005321D">
      <w:pPr>
        <w:pStyle w:val="ListParagraph"/>
        <w:numPr>
          <w:ilvl w:val="0"/>
          <w:numId w:val="13"/>
        </w:numPr>
        <w:rPr>
          <w:rFonts w:asciiTheme="minorHAnsi" w:hAnsiTheme="minorHAnsi"/>
          <w:szCs w:val="20"/>
        </w:rPr>
      </w:pPr>
      <w:r w:rsidRPr="00361E02">
        <w:t>Experience in the operation of small plant and equipment, such as high-pressure cleaners, basic power tools, etc.</w:t>
      </w:r>
    </w:p>
    <w:p w14:paraId="1311372D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421EE0D8" w14:textId="77777777" w:rsidR="0005321D" w:rsidRDefault="0005321D" w:rsidP="0005321D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szCs w:val="20"/>
        </w:rPr>
      </w:pPr>
      <w:r w:rsidRPr="0005321D">
        <w:rPr>
          <w:rFonts w:asciiTheme="minorHAnsi" w:hAnsiTheme="minorHAnsi"/>
          <w:szCs w:val="20"/>
        </w:rPr>
        <w:t xml:space="preserve">‘C’ Class </w:t>
      </w:r>
      <w:proofErr w:type="gramStart"/>
      <w:r w:rsidRPr="0005321D">
        <w:rPr>
          <w:rFonts w:asciiTheme="minorHAnsi" w:hAnsiTheme="minorHAnsi"/>
          <w:szCs w:val="20"/>
        </w:rPr>
        <w:t>drivers</w:t>
      </w:r>
      <w:proofErr w:type="gramEnd"/>
      <w:r w:rsidRPr="0005321D">
        <w:rPr>
          <w:rFonts w:asciiTheme="minorHAnsi" w:hAnsiTheme="minorHAnsi"/>
          <w:szCs w:val="20"/>
        </w:rPr>
        <w:t xml:space="preserve"> licence</w:t>
      </w:r>
    </w:p>
    <w:p w14:paraId="4A346B73" w14:textId="77777777" w:rsidR="0005321D" w:rsidRDefault="0005321D" w:rsidP="0005321D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szCs w:val="20"/>
        </w:rPr>
      </w:pPr>
      <w:r w:rsidRPr="0005321D">
        <w:rPr>
          <w:rFonts w:asciiTheme="minorHAnsi" w:hAnsiTheme="minorHAnsi"/>
          <w:szCs w:val="20"/>
        </w:rPr>
        <w:t>Previous experience cleaning commercial buildings</w:t>
      </w:r>
    </w:p>
    <w:p w14:paraId="1BDA1334" w14:textId="77777777" w:rsidR="0005321D" w:rsidRDefault="0005321D" w:rsidP="0005321D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szCs w:val="20"/>
        </w:rPr>
      </w:pPr>
      <w:r w:rsidRPr="0005321D">
        <w:rPr>
          <w:rFonts w:asciiTheme="minorHAnsi" w:hAnsiTheme="minorHAnsi"/>
          <w:szCs w:val="20"/>
        </w:rPr>
        <w:t>Demonstrated knowledge in the use of cleaning products for the cleaning of Public or Commercial buildings</w:t>
      </w:r>
      <w:r>
        <w:rPr>
          <w:rFonts w:asciiTheme="minorHAnsi" w:hAnsiTheme="minorHAnsi"/>
          <w:szCs w:val="20"/>
        </w:rPr>
        <w:t>’</w:t>
      </w:r>
    </w:p>
    <w:p w14:paraId="56F552B2" w14:textId="77777777" w:rsidR="0005321D" w:rsidRDefault="0005321D" w:rsidP="0005321D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szCs w:val="20"/>
        </w:rPr>
      </w:pPr>
      <w:r w:rsidRPr="0005321D">
        <w:rPr>
          <w:rFonts w:asciiTheme="minorHAnsi" w:hAnsiTheme="minorHAnsi"/>
          <w:szCs w:val="20"/>
        </w:rPr>
        <w:t>Hazardous substance storage and handling awareness</w:t>
      </w:r>
    </w:p>
    <w:p w14:paraId="4A0BE382" w14:textId="29DE79D9" w:rsidR="0005321D" w:rsidRPr="0005321D" w:rsidRDefault="0005321D" w:rsidP="0005321D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szCs w:val="20"/>
        </w:rPr>
      </w:pPr>
      <w:r w:rsidRPr="0005321D">
        <w:rPr>
          <w:rFonts w:asciiTheme="minorHAnsi" w:hAnsiTheme="minorHAnsi"/>
          <w:szCs w:val="20"/>
        </w:rPr>
        <w:t>Current immunisation for Hepatitis A and Hepatitis B.</w:t>
      </w:r>
    </w:p>
    <w:p w14:paraId="79D8F872" w14:textId="77777777" w:rsidR="0005321D" w:rsidRPr="0005321D" w:rsidRDefault="0005321D" w:rsidP="0005321D">
      <w:pPr>
        <w:pStyle w:val="ListParagraph"/>
        <w:spacing w:line="240" w:lineRule="auto"/>
        <w:ind w:left="720" w:firstLine="0"/>
        <w:rPr>
          <w:rFonts w:asciiTheme="minorHAnsi" w:hAnsiTheme="minorHAnsi"/>
          <w:szCs w:val="20"/>
        </w:rPr>
      </w:pPr>
    </w:p>
    <w:p w14:paraId="1B55F625" w14:textId="4BD0B1D2" w:rsidR="00930509" w:rsidRDefault="00930509" w:rsidP="00930509">
      <w:pPr>
        <w:pStyle w:val="ListParagraph"/>
        <w:spacing w:line="240" w:lineRule="auto"/>
        <w:ind w:left="720" w:firstLine="0"/>
      </w:pPr>
    </w:p>
    <w:p w14:paraId="05481B76" w14:textId="77777777" w:rsidR="0005321D" w:rsidRDefault="0005321D" w:rsidP="00930509">
      <w:pPr>
        <w:pStyle w:val="ListParagraph"/>
        <w:spacing w:line="240" w:lineRule="auto"/>
        <w:ind w:left="720" w:firstLine="0"/>
      </w:pPr>
    </w:p>
    <w:p w14:paraId="2042B0F7" w14:textId="398BA7E2" w:rsidR="00930509" w:rsidRDefault="00930509" w:rsidP="00930509">
      <w:pPr>
        <w:pStyle w:val="ListParagraph"/>
        <w:spacing w:line="240" w:lineRule="auto"/>
        <w:ind w:left="720" w:firstLine="0"/>
      </w:pPr>
    </w:p>
    <w:p w14:paraId="3DB44CC3" w14:textId="77777777" w:rsidR="00930509" w:rsidRDefault="00930509" w:rsidP="00930509">
      <w:pPr>
        <w:pStyle w:val="ListParagraph"/>
        <w:spacing w:line="240" w:lineRule="auto"/>
        <w:ind w:left="720" w:firstLine="0"/>
      </w:pPr>
    </w:p>
    <w:p w14:paraId="79E37E26" w14:textId="77777777" w:rsidR="0005321D" w:rsidRDefault="0005321D" w:rsidP="00930509">
      <w:pPr>
        <w:pStyle w:val="ListParagraph"/>
        <w:spacing w:line="240" w:lineRule="auto"/>
        <w:ind w:left="720" w:firstLine="0"/>
      </w:pPr>
    </w:p>
    <w:p w14:paraId="5EFF0C75" w14:textId="77777777" w:rsidR="0005321D" w:rsidRDefault="0005321D" w:rsidP="00930509">
      <w:pPr>
        <w:pStyle w:val="ListParagraph"/>
        <w:spacing w:line="240" w:lineRule="auto"/>
        <w:ind w:left="720" w:firstLine="0"/>
      </w:pPr>
    </w:p>
    <w:p w14:paraId="50474B0F" w14:textId="77777777" w:rsidR="0005321D" w:rsidRDefault="0005321D" w:rsidP="00930509">
      <w:pPr>
        <w:pStyle w:val="ListParagraph"/>
        <w:spacing w:line="240" w:lineRule="auto"/>
        <w:ind w:left="720" w:firstLine="0"/>
      </w:pPr>
    </w:p>
    <w:p w14:paraId="4E12D000" w14:textId="77777777" w:rsidR="0005321D" w:rsidRPr="009A4F55" w:rsidRDefault="0005321D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87"/>
        <w:gridCol w:w="4595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32659296" w14:textId="77777777" w:rsidR="0005321D" w:rsidRDefault="0005321D" w:rsidP="00087A03">
            <w:r>
              <w:t>Recreation Staff</w:t>
            </w:r>
          </w:p>
          <w:p w14:paraId="70E195EA" w14:textId="17F605AC" w:rsidR="00930509" w:rsidRDefault="0005321D" w:rsidP="00087A03">
            <w:r>
              <w:t>Other Shire staff</w:t>
            </w:r>
            <w:r w:rsidR="00930509">
              <w:t xml:space="preserve"> </w:t>
            </w:r>
          </w:p>
        </w:tc>
        <w:tc>
          <w:tcPr>
            <w:tcW w:w="5250" w:type="dxa"/>
          </w:tcPr>
          <w:p w14:paraId="19412134" w14:textId="77777777" w:rsidR="00930509" w:rsidRDefault="00930509" w:rsidP="00087A03">
            <w:r>
              <w:t>Community Members</w:t>
            </w:r>
          </w:p>
          <w:p w14:paraId="72A390A5" w14:textId="761FCB9D" w:rsidR="00930509" w:rsidRDefault="0005321D" w:rsidP="00087A03">
            <w:r>
              <w:t>Sporting Clubs</w:t>
            </w:r>
          </w:p>
          <w:p w14:paraId="07F0F218" w14:textId="77777777" w:rsidR="00930509" w:rsidRDefault="00930509" w:rsidP="00087A03">
            <w:r>
              <w:t>General Public</w:t>
            </w:r>
          </w:p>
        </w:tc>
      </w:tr>
    </w:tbl>
    <w:p w14:paraId="0AE8CDC4" w14:textId="77777777" w:rsidR="00930509" w:rsidRDefault="00930509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6E00AF1D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34BA66A6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E112B"/>
    <w:multiLevelType w:val="hybridMultilevel"/>
    <w:tmpl w:val="A2066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F3C3E"/>
    <w:multiLevelType w:val="hybridMultilevel"/>
    <w:tmpl w:val="9EA4A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3"/>
  </w:num>
  <w:num w:numId="2" w16cid:durableId="2089961211">
    <w:abstractNumId w:val="6"/>
  </w:num>
  <w:num w:numId="3" w16cid:durableId="1571237046">
    <w:abstractNumId w:val="2"/>
  </w:num>
  <w:num w:numId="4" w16cid:durableId="25837210">
    <w:abstractNumId w:val="4"/>
  </w:num>
  <w:num w:numId="5" w16cid:durableId="1224947021">
    <w:abstractNumId w:val="0"/>
  </w:num>
  <w:num w:numId="6" w16cid:durableId="2017877801">
    <w:abstractNumId w:val="1"/>
  </w:num>
  <w:num w:numId="7" w16cid:durableId="540090475">
    <w:abstractNumId w:val="12"/>
  </w:num>
  <w:num w:numId="8" w16cid:durableId="552353022">
    <w:abstractNumId w:val="5"/>
  </w:num>
  <w:num w:numId="9" w16cid:durableId="1721396549">
    <w:abstractNumId w:val="10"/>
  </w:num>
  <w:num w:numId="10" w16cid:durableId="1382171699">
    <w:abstractNumId w:val="11"/>
  </w:num>
  <w:num w:numId="11" w16cid:durableId="1081414910">
    <w:abstractNumId w:val="9"/>
  </w:num>
  <w:num w:numId="12" w16cid:durableId="359161447">
    <w:abstractNumId w:val="8"/>
  </w:num>
  <w:num w:numId="13" w16cid:durableId="2012024730">
    <w:abstractNumId w:val="7"/>
  </w:num>
  <w:num w:numId="14" w16cid:durableId="968632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5321D"/>
    <w:rsid w:val="00071346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74D4"/>
    <w:rsid w:val="001A2DE2"/>
    <w:rsid w:val="001D19B2"/>
    <w:rsid w:val="001D223B"/>
    <w:rsid w:val="001D3F5B"/>
    <w:rsid w:val="00200141"/>
    <w:rsid w:val="002416A1"/>
    <w:rsid w:val="00245F8E"/>
    <w:rsid w:val="00252989"/>
    <w:rsid w:val="00253B48"/>
    <w:rsid w:val="00280B57"/>
    <w:rsid w:val="00280F64"/>
    <w:rsid w:val="00284292"/>
    <w:rsid w:val="002905D3"/>
    <w:rsid w:val="002A2907"/>
    <w:rsid w:val="002A4A45"/>
    <w:rsid w:val="002B0E0D"/>
    <w:rsid w:val="002C29BB"/>
    <w:rsid w:val="002C5800"/>
    <w:rsid w:val="002E0A0A"/>
    <w:rsid w:val="002E7BCB"/>
    <w:rsid w:val="002F242C"/>
    <w:rsid w:val="00301424"/>
    <w:rsid w:val="003058D4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B66E2"/>
    <w:rsid w:val="003B7491"/>
    <w:rsid w:val="003E194C"/>
    <w:rsid w:val="003E2C92"/>
    <w:rsid w:val="003E36FE"/>
    <w:rsid w:val="003E3A40"/>
    <w:rsid w:val="0042486D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52649E"/>
    <w:rsid w:val="00545022"/>
    <w:rsid w:val="00545980"/>
    <w:rsid w:val="00567AB0"/>
    <w:rsid w:val="00587BFF"/>
    <w:rsid w:val="005B5799"/>
    <w:rsid w:val="005D0CDC"/>
    <w:rsid w:val="005D1DD7"/>
    <w:rsid w:val="005E458E"/>
    <w:rsid w:val="005F5AB4"/>
    <w:rsid w:val="00622503"/>
    <w:rsid w:val="0064561C"/>
    <w:rsid w:val="006756F5"/>
    <w:rsid w:val="0068137D"/>
    <w:rsid w:val="00681C46"/>
    <w:rsid w:val="00695E8E"/>
    <w:rsid w:val="006B1E43"/>
    <w:rsid w:val="006B7B57"/>
    <w:rsid w:val="006D5C3C"/>
    <w:rsid w:val="006F212E"/>
    <w:rsid w:val="006F5E43"/>
    <w:rsid w:val="00710D4B"/>
    <w:rsid w:val="007357B2"/>
    <w:rsid w:val="00740477"/>
    <w:rsid w:val="00742677"/>
    <w:rsid w:val="00773324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D4930"/>
    <w:rsid w:val="008E2257"/>
    <w:rsid w:val="008E5D00"/>
    <w:rsid w:val="008E6D5C"/>
    <w:rsid w:val="0090375B"/>
    <w:rsid w:val="00926304"/>
    <w:rsid w:val="00930509"/>
    <w:rsid w:val="00936A85"/>
    <w:rsid w:val="00941081"/>
    <w:rsid w:val="0096738B"/>
    <w:rsid w:val="009709F6"/>
    <w:rsid w:val="009D4E4F"/>
    <w:rsid w:val="009D6C94"/>
    <w:rsid w:val="009E4F2D"/>
    <w:rsid w:val="009E5E31"/>
    <w:rsid w:val="009E70E7"/>
    <w:rsid w:val="009F044A"/>
    <w:rsid w:val="00A12842"/>
    <w:rsid w:val="00A31CC6"/>
    <w:rsid w:val="00A73EAD"/>
    <w:rsid w:val="00A84BE7"/>
    <w:rsid w:val="00A85C2B"/>
    <w:rsid w:val="00A907FE"/>
    <w:rsid w:val="00AA3805"/>
    <w:rsid w:val="00AB00CE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74723"/>
    <w:rsid w:val="00BA42B9"/>
    <w:rsid w:val="00BA708E"/>
    <w:rsid w:val="00BC7942"/>
    <w:rsid w:val="00BD2F8F"/>
    <w:rsid w:val="00BE1BD1"/>
    <w:rsid w:val="00BE5BD4"/>
    <w:rsid w:val="00BF2B05"/>
    <w:rsid w:val="00C346AF"/>
    <w:rsid w:val="00C674FB"/>
    <w:rsid w:val="00C75DBA"/>
    <w:rsid w:val="00C9665D"/>
    <w:rsid w:val="00C96DDA"/>
    <w:rsid w:val="00CA5210"/>
    <w:rsid w:val="00CB25DB"/>
    <w:rsid w:val="00CE0249"/>
    <w:rsid w:val="00CF2878"/>
    <w:rsid w:val="00D406FE"/>
    <w:rsid w:val="00D6581A"/>
    <w:rsid w:val="00D77781"/>
    <w:rsid w:val="00D81D96"/>
    <w:rsid w:val="00D85D58"/>
    <w:rsid w:val="00E008C6"/>
    <w:rsid w:val="00E21E4F"/>
    <w:rsid w:val="00E24B87"/>
    <w:rsid w:val="00E37606"/>
    <w:rsid w:val="00E41EC2"/>
    <w:rsid w:val="00E707DD"/>
    <w:rsid w:val="00E903A9"/>
    <w:rsid w:val="00E95BD2"/>
    <w:rsid w:val="00EA3DEA"/>
    <w:rsid w:val="00EC6DE1"/>
    <w:rsid w:val="00ED0CE6"/>
    <w:rsid w:val="00ED5E94"/>
    <w:rsid w:val="00EF174F"/>
    <w:rsid w:val="00F03B2B"/>
    <w:rsid w:val="00F45743"/>
    <w:rsid w:val="00F45D3A"/>
    <w:rsid w:val="00F5730A"/>
    <w:rsid w:val="00F6551C"/>
    <w:rsid w:val="00F83267"/>
    <w:rsid w:val="00F9202D"/>
    <w:rsid w:val="00FB2849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Holly Drage</cp:lastModifiedBy>
  <cp:revision>2</cp:revision>
  <cp:lastPrinted>2023-08-22T02:25:00Z</cp:lastPrinted>
  <dcterms:created xsi:type="dcterms:W3CDTF">2025-02-13T08:05:00Z</dcterms:created>
  <dcterms:modified xsi:type="dcterms:W3CDTF">2025-02-13T08:05:00Z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K0CCE8301</vt:lpwstr>
  </property>
  <property fmtid="{D5CDD505-2E9C-101B-9397-08002B2CF9AE}" pid="3" name="GrammarlyDocumentId">
    <vt:lpwstr>78936f598ccc7884b8bc3040412157af042af16c005a085290d96d0b62d4a449</vt:lpwstr>
  </property>
</Properties>
</file>